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F1" w:rsidRDefault="00BF67D6" w:rsidP="00BF67D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01CF1">
        <w:rPr>
          <w:rFonts w:ascii="Times New Roman" w:hAnsi="Times New Roman" w:cs="Times New Roman"/>
          <w:b/>
          <w:sz w:val="28"/>
          <w:szCs w:val="24"/>
        </w:rPr>
        <w:t>F4P10104 "Corporéité, arts et développement"</w:t>
      </w:r>
      <w:r w:rsidRPr="00A01CF1">
        <w:rPr>
          <w:rFonts w:ascii="Times New Roman" w:hAnsi="Times New Roman" w:cs="Times New Roman"/>
          <w:b/>
          <w:sz w:val="28"/>
          <w:szCs w:val="24"/>
        </w:rPr>
        <w:tab/>
      </w:r>
      <w:r w:rsidRPr="00A01CF1">
        <w:rPr>
          <w:rFonts w:ascii="Times New Roman" w:hAnsi="Times New Roman" w:cs="Times New Roman"/>
          <w:b/>
          <w:sz w:val="28"/>
          <w:szCs w:val="24"/>
        </w:rPr>
        <w:tab/>
      </w:r>
    </w:p>
    <w:p w:rsidR="00BF67D6" w:rsidRPr="00B2533A" w:rsidRDefault="00A61445" w:rsidP="00A01CF1">
      <w:pPr>
        <w:spacing w:after="0"/>
        <w:ind w:left="4956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2533A">
        <w:rPr>
          <w:rFonts w:ascii="Times New Roman" w:hAnsi="Times New Roman" w:cs="Times New Roman"/>
          <w:b/>
          <w:sz w:val="28"/>
          <w:szCs w:val="24"/>
          <w:u w:val="single"/>
        </w:rPr>
        <w:t>cours</w:t>
      </w:r>
      <w:proofErr w:type="gramEnd"/>
      <w:r w:rsidRPr="00B2533A">
        <w:rPr>
          <w:rFonts w:ascii="Times New Roman" w:hAnsi="Times New Roman" w:cs="Times New Roman"/>
          <w:b/>
          <w:sz w:val="28"/>
          <w:szCs w:val="24"/>
          <w:u w:val="single"/>
        </w:rPr>
        <w:t xml:space="preserve"> n° 3</w:t>
      </w:r>
      <w:r w:rsidR="00BF67D6" w:rsidRPr="00B2533A">
        <w:rPr>
          <w:rFonts w:ascii="Times New Roman" w:hAnsi="Times New Roman" w:cs="Times New Roman"/>
          <w:b/>
          <w:sz w:val="28"/>
          <w:szCs w:val="24"/>
          <w:u w:val="single"/>
        </w:rPr>
        <w:t>,</w:t>
      </w:r>
      <w:r w:rsidR="00B2533A" w:rsidRPr="00B2533A">
        <w:rPr>
          <w:rFonts w:ascii="Times New Roman" w:hAnsi="Times New Roman" w:cs="Times New Roman"/>
          <w:b/>
          <w:sz w:val="28"/>
          <w:szCs w:val="24"/>
          <w:u w:val="single"/>
        </w:rPr>
        <w:t xml:space="preserve"> du 1er</w:t>
      </w:r>
      <w:r w:rsidRPr="00B2533A">
        <w:rPr>
          <w:rFonts w:ascii="Times New Roman" w:hAnsi="Times New Roman" w:cs="Times New Roman"/>
          <w:b/>
          <w:sz w:val="28"/>
          <w:szCs w:val="24"/>
          <w:u w:val="single"/>
        </w:rPr>
        <w:t xml:space="preserve"> octo</w:t>
      </w:r>
      <w:r w:rsidR="00B2533A">
        <w:rPr>
          <w:rFonts w:ascii="Times New Roman" w:hAnsi="Times New Roman" w:cs="Times New Roman"/>
          <w:b/>
          <w:sz w:val="28"/>
          <w:szCs w:val="24"/>
          <w:u w:val="single"/>
        </w:rPr>
        <w:t>bre 2019</w:t>
      </w:r>
    </w:p>
    <w:p w:rsidR="00BF67D6" w:rsidRPr="00A01CF1" w:rsidRDefault="00BF67D6" w:rsidP="00A01CF1">
      <w:pPr>
        <w:spacing w:after="0"/>
        <w:ind w:hanging="284"/>
        <w:jc w:val="center"/>
        <w:rPr>
          <w:rFonts w:ascii="Times New Roman" w:hAnsi="Times New Roman" w:cs="Times New Roman"/>
          <w:b/>
          <w:i/>
          <w:color w:val="FF0066"/>
          <w:sz w:val="28"/>
          <w:szCs w:val="24"/>
          <w:lang w:val="en-US"/>
        </w:rPr>
      </w:pPr>
      <w:proofErr w:type="spellStart"/>
      <w:r w:rsidRPr="00A01CF1">
        <w:rPr>
          <w:rFonts w:ascii="Times New Roman" w:hAnsi="Times New Roman" w:cs="Times New Roman"/>
          <w:b/>
          <w:i/>
          <w:color w:val="FF0066"/>
          <w:sz w:val="28"/>
          <w:szCs w:val="24"/>
          <w:lang w:val="en-US"/>
        </w:rPr>
        <w:t>Embodiement</w:t>
      </w:r>
      <w:proofErr w:type="spellEnd"/>
      <w:r w:rsidRPr="00A01CF1">
        <w:rPr>
          <w:rFonts w:ascii="Times New Roman" w:hAnsi="Times New Roman" w:cs="Times New Roman"/>
          <w:b/>
          <w:i/>
          <w:color w:val="FF0066"/>
          <w:sz w:val="28"/>
          <w:szCs w:val="24"/>
          <w:lang w:val="en-US"/>
        </w:rPr>
        <w:t xml:space="preserve"> processes and child development in Arts teaching-learning lessons</w:t>
      </w:r>
    </w:p>
    <w:p w:rsidR="00BF67D6" w:rsidRPr="00A01CF1" w:rsidRDefault="00BF67D6" w:rsidP="00BF67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CF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A61445" w:rsidRPr="00000A6B" w:rsidTr="00CF7DFC">
        <w:tc>
          <w:tcPr>
            <w:tcW w:w="1101" w:type="dxa"/>
          </w:tcPr>
          <w:p w:rsidR="00A61445" w:rsidRDefault="00A61445" w:rsidP="003905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</w:p>
          <w:p w:rsidR="00A61445" w:rsidRPr="00000A6B" w:rsidRDefault="00A61445" w:rsidP="0039054E">
            <w:pPr>
              <w:rPr>
                <w:b/>
                <w:sz w:val="28"/>
                <w:szCs w:val="28"/>
              </w:rPr>
            </w:pPr>
            <w:r w:rsidRPr="00352085">
              <w:rPr>
                <w:b/>
                <w:color w:val="C00000"/>
                <w:sz w:val="28"/>
                <w:szCs w:val="28"/>
              </w:rPr>
              <w:t>M S140</w:t>
            </w:r>
          </w:p>
        </w:tc>
        <w:tc>
          <w:tcPr>
            <w:tcW w:w="9072" w:type="dxa"/>
          </w:tcPr>
          <w:p w:rsidR="00B2533A" w:rsidRPr="00B2533A" w:rsidRDefault="00B2533A" w:rsidP="00B2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3A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FPR2</w:t>
            </w:r>
            <w:r w:rsidRPr="00B2533A">
              <w:rPr>
                <w:rFonts w:ascii="Times New Roman" w:hAnsi="Times New Roman" w:cs="Times New Roman"/>
                <w:sz w:val="32"/>
                <w:szCs w:val="28"/>
              </w:rPr>
              <w:t xml:space="preserve"> // </w:t>
            </w:r>
            <w:r w:rsidRPr="00B2533A">
              <w:rPr>
                <w:rFonts w:ascii="Times New Roman" w:hAnsi="Times New Roman" w:cs="Times New Roman"/>
                <w:color w:val="00B050"/>
                <w:sz w:val="32"/>
                <w:szCs w:val="28"/>
                <w:u w:val="single"/>
              </w:rPr>
              <w:t>Atelier</w:t>
            </w:r>
            <w:r w:rsidRPr="00B2533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. </w:t>
            </w:r>
            <w:r w:rsidRPr="00B253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Mouvement et mise en espace</w:t>
            </w:r>
            <w:r w:rsidRPr="00B2533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B2533A" w:rsidRPr="00B2533A" w:rsidRDefault="00B2533A" w:rsidP="00B2533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B2533A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du point de vue métrique,</w:t>
            </w:r>
          </w:p>
          <w:p w:rsidR="00B2533A" w:rsidRPr="00B2533A" w:rsidRDefault="00B2533A" w:rsidP="00B2533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2533A">
              <w:rPr>
                <w:rFonts w:ascii="Times New Roman" w:hAnsi="Times New Roman" w:cs="Times New Roman"/>
                <w:sz w:val="28"/>
                <w:szCs w:val="28"/>
              </w:rPr>
              <w:t>du point de vue structurel.</w:t>
            </w:r>
          </w:p>
          <w:p w:rsidR="00A61445" w:rsidRPr="001A367D" w:rsidRDefault="00C54FDB" w:rsidP="001A36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Du rapport entre disciplines et de celles-ci avec une nomenclature, selon Lavoisier </w:t>
            </w:r>
            <w:bookmarkStart w:id="0" w:name="_GoBack"/>
            <w:bookmarkEnd w:id="0"/>
          </w:p>
        </w:tc>
      </w:tr>
    </w:tbl>
    <w:p w:rsidR="00E94FF9" w:rsidRDefault="00E94FF9" w:rsidP="00BF67D6">
      <w:pPr>
        <w:spacing w:after="0"/>
        <w:rPr>
          <w:b/>
          <w:color w:val="7030A0"/>
          <w:sz w:val="32"/>
          <w:szCs w:val="32"/>
        </w:rPr>
      </w:pPr>
    </w:p>
    <w:p w:rsidR="00E94FF9" w:rsidRPr="00A61445" w:rsidRDefault="00E94FF9" w:rsidP="00E94FF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4FF9">
        <w:rPr>
          <w:rFonts w:ascii="Times New Roman" w:hAnsi="Times New Roman" w:cs="Times New Roman"/>
          <w:b/>
          <w:color w:val="7030A0"/>
          <w:sz w:val="28"/>
          <w:szCs w:val="28"/>
        </w:rPr>
        <w:t>Fenêtre sur des pratiques de référence (FPR1)</w:t>
      </w:r>
    </w:p>
    <w:p w:rsidR="00B2533A" w:rsidRPr="00A61445" w:rsidRDefault="00B2533A" w:rsidP="00B2533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1445">
        <w:rPr>
          <w:rFonts w:ascii="Times New Roman" w:hAnsi="Times New Roman" w:cs="Times New Roman"/>
          <w:color w:val="00B050"/>
          <w:sz w:val="28"/>
          <w:szCs w:val="28"/>
          <w:u w:val="single"/>
          <w:lang w:val="fr-CH"/>
        </w:rPr>
        <w:t>Atelier</w:t>
      </w:r>
      <w:r w:rsidRPr="00A61445">
        <w:rPr>
          <w:rFonts w:ascii="Times New Roman" w:hAnsi="Times New Roman" w:cs="Times New Roman"/>
          <w:sz w:val="28"/>
          <w:szCs w:val="28"/>
          <w:u w:val="single"/>
          <w:lang w:val="fr-CH"/>
        </w:rPr>
        <w:t>. Mouvement et mise en espace</w:t>
      </w:r>
      <w:r w:rsidRPr="00A61445">
        <w:rPr>
          <w:rFonts w:ascii="Times New Roman" w:hAnsi="Times New Roman" w:cs="Times New Roman"/>
          <w:sz w:val="28"/>
          <w:szCs w:val="28"/>
          <w:lang w:val="fr-CH"/>
        </w:rPr>
        <w:t> :</w:t>
      </w:r>
    </w:p>
    <w:p w:rsidR="00B2533A" w:rsidRDefault="00B2533A" w:rsidP="00B2533A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du point de vue métrique</w:t>
      </w:r>
    </w:p>
    <w:p w:rsidR="00B2533A" w:rsidRDefault="00B2533A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A partir d’un champ lexical qui concerne à la fois l’appareil digestif (perceptions gustatives comprises) et d’autres références, constituer un petit vocabulaire du type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2533A" w:rsidTr="00012361">
        <w:tc>
          <w:tcPr>
            <w:tcW w:w="9212" w:type="dxa"/>
          </w:tcPr>
          <w:p w:rsidR="00B2533A" w:rsidRDefault="00B2533A" w:rsidP="00012361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0D4">
              <w:rPr>
                <w:rFonts w:ascii="Times New Roman" w:hAnsi="Times New Roman" w:cs="Times New Roman"/>
                <w:sz w:val="28"/>
                <w:szCs w:val="28"/>
              </w:rPr>
              <w:t>moëlleux</w:t>
            </w:r>
            <w:proofErr w:type="spellEnd"/>
            <w:r w:rsidRPr="001000D4">
              <w:rPr>
                <w:rFonts w:ascii="Times New Roman" w:hAnsi="Times New Roman" w:cs="Times New Roman"/>
                <w:sz w:val="28"/>
                <w:szCs w:val="28"/>
              </w:rPr>
              <w:t>, fondant, craquant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collant, grumeleux, minéral, pétillant, corsé, pimenté, salé, </w:t>
            </w:r>
            <w:r w:rsidR="00891F88">
              <w:rPr>
                <w:rFonts w:ascii="Times New Roman" w:hAnsi="Times New Roman" w:cs="Times New Roman"/>
                <w:sz w:val="28"/>
                <w:szCs w:val="28"/>
              </w:rPr>
              <w:t xml:space="preserve">acide,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homogène</w:t>
            </w:r>
            <w:r w:rsidR="00891F88">
              <w:rPr>
                <w:rFonts w:ascii="Times New Roman" w:hAnsi="Times New Roman" w:cs="Times New Roman"/>
                <w:sz w:val="28"/>
                <w:szCs w:val="28"/>
              </w:rPr>
              <w:t>, dégoûtant, savoureux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B2533A" w:rsidRDefault="00B2533A" w:rsidP="00012361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3A" w:rsidRDefault="00B2533A" w:rsidP="00012361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3A" w:rsidRPr="000A4C4C" w:rsidRDefault="00B2533A" w:rsidP="00012361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3A" w:rsidRPr="000A4C4C" w:rsidRDefault="00B2533A" w:rsidP="00012361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CC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avaler /ne pas avaler ; digérer, 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étouffer, saturer, déguster, engloutir, dévorer…</w:t>
            </w:r>
          </w:p>
          <w:p w:rsidR="00B2533A" w:rsidRPr="000A4C4C" w:rsidRDefault="00B2533A" w:rsidP="0001236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3A" w:rsidRPr="008D6DCC" w:rsidRDefault="00B2533A" w:rsidP="00012361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</w:tc>
      </w:tr>
    </w:tbl>
    <w:p w:rsidR="00B2533A" w:rsidRDefault="00B2533A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Prenez ces mots, complétez-les à loisir et faites les danser / trépigner / s’étirer / se contracter / sauter….</w:t>
      </w:r>
    </w:p>
    <w:p w:rsidR="00B2533A" w:rsidRDefault="00B2533A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Autrement dit, faites un travail de prosodie et d’expression (accentuer certaines syllabes, rythmer l’ensemble des mots</w:t>
      </w:r>
      <w:r w:rsidR="002F5D9F">
        <w:rPr>
          <w:rFonts w:ascii="Times New Roman" w:hAnsi="Times New Roman" w:cs="Times New Roman"/>
          <w:sz w:val="28"/>
          <w:szCs w:val="28"/>
          <w:lang w:val="fr-CH"/>
        </w:rPr>
        <w:t>…).</w:t>
      </w:r>
    </w:p>
    <w:p w:rsidR="00B37BAC" w:rsidRDefault="00B2533A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Mettez en évidence certaines allitérations, allonger certaines voyelles, </w:t>
      </w:r>
      <w:r w:rsidR="002F5D9F">
        <w:rPr>
          <w:rFonts w:ascii="Times New Roman" w:hAnsi="Times New Roman" w:cs="Times New Roman"/>
          <w:sz w:val="28"/>
          <w:szCs w:val="28"/>
          <w:lang w:val="fr-CH"/>
        </w:rPr>
        <w:t xml:space="preserve">utilisez des registres vocaux (grave, medium, ou aigu) et des timbres différents (par exemple : susurré, nasalisé, flûté, grondant, tonitruant). </w:t>
      </w:r>
    </w:p>
    <w:p w:rsidR="00B37BAC" w:rsidRDefault="00B37BAC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</w:p>
    <w:p w:rsidR="00B2533A" w:rsidRDefault="00B37BAC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Parallèlement, inventez une « danse de l’alimentation » silencieuse. Définissez des gestes et des mouvements qui vont avec le cérémonial, les manières de table, les périodes du cycle digestif…</w:t>
      </w:r>
    </w:p>
    <w:p w:rsidR="00B37BAC" w:rsidRDefault="00B37BAC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</w:p>
    <w:p w:rsidR="00B2533A" w:rsidRDefault="00B2533A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Durant tout ce travail, tenez compte du sens des mots</w:t>
      </w:r>
      <w:r w:rsidR="00B37BAC">
        <w:rPr>
          <w:rFonts w:ascii="Times New Roman" w:hAnsi="Times New Roman" w:cs="Times New Roman"/>
          <w:sz w:val="28"/>
          <w:szCs w:val="28"/>
          <w:lang w:val="fr-CH"/>
        </w:rPr>
        <w:t xml:space="preserve"> que vous avez choisis</w:t>
      </w:r>
      <w:r>
        <w:rPr>
          <w:rFonts w:ascii="Times New Roman" w:hAnsi="Times New Roman" w:cs="Times New Roman"/>
          <w:sz w:val="28"/>
          <w:szCs w:val="28"/>
          <w:lang w:val="fr-CH"/>
        </w:rPr>
        <w:t> !</w:t>
      </w:r>
    </w:p>
    <w:p w:rsidR="00B37BAC" w:rsidRPr="00B37BAC" w:rsidRDefault="00B2533A" w:rsidP="00B37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BAC">
        <w:rPr>
          <w:rFonts w:ascii="Times New Roman" w:hAnsi="Times New Roman" w:cs="Times New Roman"/>
          <w:sz w:val="28"/>
          <w:szCs w:val="28"/>
        </w:rPr>
        <w:t xml:space="preserve">A la fin de votre travail, vous devez avoir </w:t>
      </w:r>
    </w:p>
    <w:p w:rsidR="00B2533A" w:rsidRDefault="00B2533A" w:rsidP="00B37BAC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lastRenderedPageBreak/>
        <w:t>une œuvre sous</w:t>
      </w:r>
      <w:r w:rsidR="002F5D9F">
        <w:rPr>
          <w:rFonts w:ascii="Times New Roman" w:hAnsi="Times New Roman" w:cs="Times New Roman"/>
          <w:sz w:val="28"/>
          <w:szCs w:val="28"/>
          <w:lang w:val="fr-CH"/>
        </w:rPr>
        <w:t xml:space="preserve"> forme de texte </w:t>
      </w:r>
      <w:r w:rsidR="00B37BAC">
        <w:rPr>
          <w:rFonts w:ascii="Times New Roman" w:hAnsi="Times New Roman" w:cs="Times New Roman"/>
          <w:sz w:val="28"/>
          <w:szCs w:val="28"/>
          <w:lang w:val="fr-CH"/>
        </w:rPr>
        <w:t xml:space="preserve">interprété de manière </w:t>
      </w:r>
      <w:r w:rsidR="002F5D9F">
        <w:rPr>
          <w:rFonts w:ascii="Times New Roman" w:hAnsi="Times New Roman" w:cs="Times New Roman"/>
          <w:sz w:val="28"/>
          <w:szCs w:val="28"/>
          <w:lang w:val="fr-CH"/>
        </w:rPr>
        <w:t>thé</w:t>
      </w:r>
      <w:r w:rsidR="00B37BAC">
        <w:rPr>
          <w:rFonts w:ascii="Times New Roman" w:hAnsi="Times New Roman" w:cs="Times New Roman"/>
          <w:sz w:val="28"/>
          <w:szCs w:val="28"/>
          <w:lang w:val="fr-CH"/>
        </w:rPr>
        <w:t>âtrale ;</w:t>
      </w:r>
    </w:p>
    <w:p w:rsidR="00B37BAC" w:rsidRDefault="00B37BAC" w:rsidP="00B37BAC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une danse silencieuse.</w:t>
      </w:r>
    </w:p>
    <w:p w:rsidR="00B37BAC" w:rsidRDefault="00B37BAC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</w:p>
    <w:p w:rsidR="00B2533A" w:rsidRDefault="00B2533A" w:rsidP="00B2533A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Pour vous inspirer, comparez au traitement compositionnel que Jürg </w:t>
      </w:r>
      <w:proofErr w:type="spellStart"/>
      <w:r>
        <w:rPr>
          <w:rFonts w:ascii="Times New Roman" w:hAnsi="Times New Roman" w:cs="Times New Roman"/>
          <w:sz w:val="28"/>
          <w:szCs w:val="28"/>
          <w:lang w:val="fr-CH"/>
        </w:rPr>
        <w:t>Wyttenbach</w:t>
      </w:r>
      <w:proofErr w:type="spellEnd"/>
      <w:r>
        <w:rPr>
          <w:rFonts w:ascii="Times New Roman" w:hAnsi="Times New Roman" w:cs="Times New Roman"/>
          <w:sz w:val="28"/>
          <w:szCs w:val="28"/>
          <w:lang w:val="fr-CH"/>
        </w:rPr>
        <w:t xml:space="preserve"> a imaginé d’appliquer au texte de Rabelais : </w:t>
      </w:r>
      <w:r w:rsidRPr="000A4C4C">
        <w:rPr>
          <w:rFonts w:ascii="Times New Roman" w:hAnsi="Times New Roman" w:cs="Times New Roman"/>
          <w:i/>
          <w:sz w:val="28"/>
          <w:szCs w:val="28"/>
          <w:lang w:val="fr-CH"/>
        </w:rPr>
        <w:t xml:space="preserve">Chanson à la </w:t>
      </w:r>
      <w:proofErr w:type="spellStart"/>
      <w:r w:rsidRPr="000A4C4C">
        <w:rPr>
          <w:rFonts w:ascii="Times New Roman" w:hAnsi="Times New Roman" w:cs="Times New Roman"/>
          <w:i/>
          <w:sz w:val="28"/>
          <w:szCs w:val="28"/>
          <w:lang w:val="fr-CH"/>
        </w:rPr>
        <w:t>Lanternoy</w:t>
      </w:r>
      <w:proofErr w:type="spellEnd"/>
      <w:r>
        <w:rPr>
          <w:rFonts w:ascii="Times New Roman" w:hAnsi="Times New Roman" w:cs="Times New Roman"/>
          <w:sz w:val="28"/>
          <w:szCs w:val="28"/>
          <w:lang w:val="fr-CH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2533A" w:rsidRPr="00B610D1" w:rsidTr="00012361">
        <w:tc>
          <w:tcPr>
            <w:tcW w:w="9212" w:type="dxa"/>
          </w:tcPr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Briszmarg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algotbric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nubstzne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zos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,</w:t>
            </w: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Isquebfz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prusq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albok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crinqs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zacbac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.</w:t>
            </w: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Misbe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dilbaelks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morp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nipp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stancz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bos</w:t>
            </w:r>
            <w:proofErr w:type="spellEnd"/>
          </w:p>
          <w:p w:rsidR="00B2533A" w:rsidRPr="00B610D1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proofErr w:type="spellStart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Strombstz</w:t>
            </w:r>
            <w:proofErr w:type="spellEnd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, </w:t>
            </w:r>
            <w:proofErr w:type="spellStart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Panrge</w:t>
            </w:r>
            <w:proofErr w:type="spellEnd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walmap</w:t>
            </w:r>
            <w:proofErr w:type="spellEnd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quost</w:t>
            </w:r>
            <w:proofErr w:type="spellEnd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grufz</w:t>
            </w:r>
            <w:proofErr w:type="spellEnd"/>
            <w:r w:rsidRPr="00B610D1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bac</w:t>
            </w:r>
          </w:p>
          <w:p w:rsidR="00B2533A" w:rsidRPr="00B610D1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</w:tc>
      </w:tr>
    </w:tbl>
    <w:p w:rsidR="00B2533A" w:rsidRPr="000405B9" w:rsidRDefault="00B2533A" w:rsidP="00B2533A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  <w:lang w:val="fr-CH"/>
        </w:rPr>
      </w:pPr>
    </w:p>
    <w:p w:rsidR="00B2533A" w:rsidRDefault="00B37BAC" w:rsidP="00B37BAC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FACULTATIF : </w:t>
      </w:r>
      <w:r w:rsidR="00B2533A" w:rsidRPr="00A61445">
        <w:rPr>
          <w:rFonts w:ascii="Times New Roman" w:hAnsi="Times New Roman" w:cs="Times New Roman"/>
          <w:sz w:val="28"/>
          <w:szCs w:val="28"/>
          <w:lang w:val="fr-CH"/>
        </w:rPr>
        <w:t>du point de vue structurel.</w:t>
      </w:r>
    </w:p>
    <w:p w:rsidR="00B2533A" w:rsidRDefault="00B2533A" w:rsidP="00B2533A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Choisir un ordre de ces mots et leur donner une forme (forme strophique / ABA / variations, par exemple). Prendre les décisions finales des effets vocaux que vous allez utiliser (tel effet pour telle syllabe ou tel mot).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2533A" w:rsidTr="00012361">
        <w:tc>
          <w:tcPr>
            <w:tcW w:w="9212" w:type="dxa"/>
          </w:tcPr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  <w:p w:rsidR="00B2533A" w:rsidRDefault="00B2533A" w:rsidP="0001236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</w:p>
        </w:tc>
      </w:tr>
    </w:tbl>
    <w:p w:rsidR="00B2533A" w:rsidRDefault="00B2533A" w:rsidP="00B2533A">
      <w:pPr>
        <w:rPr>
          <w:rFonts w:ascii="Times New Roman" w:hAnsi="Times New Roman" w:cs="Times New Roman"/>
          <w:b/>
          <w:color w:val="FF00FF"/>
          <w:sz w:val="16"/>
          <w:szCs w:val="16"/>
        </w:rPr>
      </w:pPr>
    </w:p>
    <w:p w:rsidR="00E80688" w:rsidRPr="00FF0443" w:rsidRDefault="00E80688" w:rsidP="00A614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fr-CH"/>
        </w:rPr>
        <w:t>Du rapport entre disciplines</w:t>
      </w:r>
      <w:r w:rsidR="0062179A">
        <w:rPr>
          <w:rFonts w:ascii="Times New Roman" w:hAnsi="Times New Roman" w:cs="Times New Roman"/>
          <w:b/>
          <w:color w:val="7030A0"/>
          <w:sz w:val="28"/>
          <w:szCs w:val="28"/>
          <w:lang w:val="fr-CH"/>
        </w:rPr>
        <w:t xml:space="preserve"> et du rapport de celles-ci avec une nomenclature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fr-CH"/>
        </w:rPr>
        <w:t xml:space="preserve">, selon Lavoisier </w:t>
      </w:r>
      <w:r w:rsidRPr="00E80688">
        <w:rPr>
          <w:rFonts w:ascii="Times New Roman" w:hAnsi="Times New Roman" w:cs="Times New Roman"/>
          <w:color w:val="7030A0"/>
          <w:sz w:val="28"/>
          <w:szCs w:val="28"/>
          <w:lang w:val="fr-CH"/>
        </w:rPr>
        <w:t>(extrait</w:t>
      </w:r>
      <w:r w:rsidR="00FF0443">
        <w:rPr>
          <w:rFonts w:ascii="Times New Roman" w:hAnsi="Times New Roman" w:cs="Times New Roman"/>
          <w:color w:val="7030A0"/>
          <w:sz w:val="28"/>
          <w:szCs w:val="28"/>
          <w:lang w:val="fr-CH"/>
        </w:rPr>
        <w:t>s</w:t>
      </w:r>
      <w:r w:rsidRPr="00E80688">
        <w:rPr>
          <w:rFonts w:ascii="Times New Roman" w:hAnsi="Times New Roman" w:cs="Times New Roman"/>
          <w:color w:val="7030A0"/>
          <w:sz w:val="28"/>
          <w:szCs w:val="28"/>
          <w:lang w:val="fr-CH"/>
        </w:rPr>
        <w:t xml:space="preserve"> de </w:t>
      </w:r>
      <w:proofErr w:type="spellStart"/>
      <w:r w:rsidRPr="00E80688">
        <w:rPr>
          <w:rFonts w:ascii="Times New Roman" w:hAnsi="Times New Roman" w:cs="Times New Roman"/>
          <w:color w:val="7030A0"/>
          <w:sz w:val="28"/>
          <w:szCs w:val="28"/>
          <w:lang w:val="fr-CH"/>
        </w:rPr>
        <w:t>Csergo</w:t>
      </w:r>
      <w:proofErr w:type="spellEnd"/>
      <w:r w:rsidRPr="00E80688">
        <w:rPr>
          <w:rFonts w:ascii="Times New Roman" w:hAnsi="Times New Roman" w:cs="Times New Roman"/>
          <w:color w:val="7030A0"/>
          <w:sz w:val="28"/>
          <w:szCs w:val="28"/>
          <w:lang w:val="fr-CH"/>
        </w:rPr>
        <w:t xml:space="preserve">, J.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fr-CH"/>
        </w:rPr>
        <w:t>eds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fr-CH"/>
        </w:rPr>
        <w:t xml:space="preserve"> </w:t>
      </w:r>
      <w:r w:rsidRPr="00E80688">
        <w:rPr>
          <w:rFonts w:ascii="Times New Roman" w:hAnsi="Times New Roman" w:cs="Times New Roman"/>
          <w:color w:val="7030A0"/>
          <w:sz w:val="28"/>
          <w:szCs w:val="28"/>
          <w:lang w:val="fr-CH"/>
        </w:rPr>
        <w:t>(2004)</w:t>
      </w:r>
      <w:r w:rsidR="00CF7C6E">
        <w:rPr>
          <w:rFonts w:ascii="Times New Roman" w:hAnsi="Times New Roman" w:cs="Times New Roman"/>
          <w:color w:val="7030A0"/>
          <w:sz w:val="28"/>
          <w:szCs w:val="28"/>
          <w:lang w:val="fr-CH"/>
        </w:rPr>
        <w:t xml:space="preserve">. </w:t>
      </w:r>
      <w:r w:rsidRPr="00CF7C6E">
        <w:rPr>
          <w:rFonts w:ascii="Times New Roman" w:hAnsi="Times New Roman" w:cs="Times New Roman"/>
          <w:i/>
          <w:iCs/>
          <w:color w:val="7030A0"/>
          <w:sz w:val="28"/>
          <w:szCs w:val="28"/>
          <w:lang w:val="fr-CH"/>
        </w:rPr>
        <w:t>Histoire de l’aliment</w:t>
      </w:r>
      <w:r w:rsidR="00CF7C6E" w:rsidRPr="00CF7C6E">
        <w:rPr>
          <w:rFonts w:ascii="Times New Roman" w:hAnsi="Times New Roman" w:cs="Times New Roman"/>
          <w:i/>
          <w:iCs/>
          <w:color w:val="7030A0"/>
          <w:sz w:val="28"/>
          <w:szCs w:val="28"/>
          <w:lang w:val="fr-CH"/>
        </w:rPr>
        <w:t>ation, enjeux pour l’éducation</w:t>
      </w:r>
      <w:r w:rsidRPr="00E80688">
        <w:rPr>
          <w:rFonts w:ascii="Times New Roman" w:hAnsi="Times New Roman" w:cs="Times New Roman"/>
          <w:color w:val="7030A0"/>
          <w:sz w:val="28"/>
          <w:szCs w:val="28"/>
          <w:lang w:val="fr-CH"/>
        </w:rPr>
        <w:t>, p. 76. Dijon : E</w:t>
      </w:r>
      <w:r w:rsidR="00CF7C6E">
        <w:rPr>
          <w:rFonts w:ascii="Times New Roman" w:hAnsi="Times New Roman" w:cs="Times New Roman"/>
          <w:color w:val="7030A0"/>
          <w:sz w:val="28"/>
          <w:szCs w:val="28"/>
          <w:lang w:val="fr-CH"/>
        </w:rPr>
        <w:t xml:space="preserve">ditions </w:t>
      </w:r>
      <w:proofErr w:type="spellStart"/>
      <w:r w:rsidR="00CF7C6E">
        <w:rPr>
          <w:rFonts w:ascii="Times New Roman" w:hAnsi="Times New Roman" w:cs="Times New Roman"/>
          <w:color w:val="7030A0"/>
          <w:sz w:val="28"/>
          <w:szCs w:val="28"/>
          <w:lang w:val="fr-CH"/>
        </w:rPr>
        <w:t>Educagri</w:t>
      </w:r>
      <w:proofErr w:type="spellEnd"/>
      <w:r w:rsidR="00CF7C6E">
        <w:rPr>
          <w:rFonts w:ascii="Times New Roman" w:hAnsi="Times New Roman" w:cs="Times New Roman"/>
          <w:color w:val="7030A0"/>
          <w:sz w:val="28"/>
          <w:szCs w:val="28"/>
          <w:lang w:val="fr-CH"/>
        </w:rPr>
        <w:t>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F0443" w:rsidTr="00FF0443">
        <w:tc>
          <w:tcPr>
            <w:tcW w:w="9212" w:type="dxa"/>
          </w:tcPr>
          <w:p w:rsidR="00FF0443" w:rsidRDefault="00FF0443" w:rsidP="00FF0443">
            <w:pPr>
              <w:pStyle w:val="Paragraphedeliste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lastRenderedPageBreak/>
              <w:drawing>
                <wp:inline distT="0" distB="0" distL="0" distR="0" wp14:anchorId="38C0E9E8" wp14:editId="5CBE6B6B">
                  <wp:extent cx="5114925" cy="10668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443" w:rsidRPr="00E80688" w:rsidRDefault="00FF0443" w:rsidP="00FF0443">
      <w:pPr>
        <w:pStyle w:val="Paragraphedeliste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80688" w:rsidTr="00E80688">
        <w:tc>
          <w:tcPr>
            <w:tcW w:w="9212" w:type="dxa"/>
          </w:tcPr>
          <w:p w:rsidR="00E80688" w:rsidRDefault="00E80688" w:rsidP="00E80688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ED13EF" wp14:editId="1B63B927">
                  <wp:extent cx="5286375" cy="30099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79A" w:rsidRDefault="0062179A" w:rsidP="00E80688">
      <w:pPr>
        <w:pStyle w:val="Paragraphedeliste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80688" w:rsidRPr="0062179A" w:rsidRDefault="00B610D1" w:rsidP="0062179A">
      <w:pPr>
        <w:spacing w:after="0"/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179A">
        <w:rPr>
          <w:rFonts w:ascii="Times New Roman" w:hAnsi="Times New Roman" w:cs="Times New Roman"/>
          <w:b/>
          <w:color w:val="7030A0"/>
          <w:sz w:val="28"/>
          <w:szCs w:val="28"/>
        </w:rPr>
        <w:t>Education nutritionnelle et chimie : que devient la corporéité ?</w:t>
      </w:r>
    </w:p>
    <w:p w:rsidR="002F1E82" w:rsidRPr="0062179A" w:rsidRDefault="002F1E82" w:rsidP="0062179A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2179A">
        <w:rPr>
          <w:rFonts w:ascii="Times New Roman" w:hAnsi="Times New Roman" w:cs="Times New Roman"/>
          <w:bCs/>
          <w:iCs/>
          <w:sz w:val="24"/>
          <w:szCs w:val="24"/>
        </w:rPr>
        <w:t>Pour rappel…</w:t>
      </w:r>
    </w:p>
    <w:p w:rsidR="00782525" w:rsidRPr="0062179A" w:rsidRDefault="002F1E82" w:rsidP="0062179A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62179A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CF7C6E" w:rsidRPr="0062179A">
        <w:rPr>
          <w:rFonts w:ascii="Times New Roman" w:hAnsi="Times New Roman" w:cs="Times New Roman"/>
          <w:bCs/>
          <w:i/>
          <w:iCs/>
          <w:sz w:val="24"/>
          <w:szCs w:val="24"/>
        </w:rPr>
        <w:t>Le corps qui « reconnaît »</w:t>
      </w:r>
      <w:r w:rsidR="00CF7C6E" w:rsidRPr="0062179A">
        <w:rPr>
          <w:rFonts w:ascii="Times New Roman" w:hAnsi="Times New Roman" w:cs="Times New Roman"/>
          <w:bCs/>
          <w:sz w:val="24"/>
          <w:szCs w:val="24"/>
        </w:rPr>
        <w:t xml:space="preserve"> des aliments se forme par le goût, c’est-à-dire par la familiarisation avec des produits d’une culture / agriculture. </w:t>
      </w:r>
      <w:r w:rsidR="00782525" w:rsidRPr="0062179A">
        <w:rPr>
          <w:rFonts w:ascii="Times New Roman" w:hAnsi="Times New Roman" w:cs="Times New Roman"/>
          <w:bCs/>
          <w:sz w:val="24"/>
          <w:szCs w:val="24"/>
        </w:rPr>
        <w:t>Ces goûts sont très intériorisés : les patients atteints de la maladie d’Alzheimer semblent très sensibles aux retrouvailles avec des aliments familiers.</w:t>
      </w:r>
    </w:p>
    <w:p w:rsidR="00B610D1" w:rsidRPr="0062179A" w:rsidRDefault="00CF7C6E" w:rsidP="00CF7C6E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62179A">
        <w:rPr>
          <w:rFonts w:ascii="Times New Roman" w:hAnsi="Times New Roman" w:cs="Times New Roman"/>
          <w:bCs/>
          <w:sz w:val="24"/>
          <w:szCs w:val="24"/>
        </w:rPr>
        <w:t>Les attentes en matière de goût sont à la base d’une collection de goûts « primaires », qui vont de pair avec une inscription sociale, mais aussi avec une capacité de tri. Ce tri se manifeste notamment par le rejet : si je mords dans une pomme qui a l’air bonne, mais qu’elle est pourrie à l’intérieur, par exemple.</w:t>
      </w:r>
    </w:p>
    <w:p w:rsidR="00CF7C6E" w:rsidRPr="0062179A" w:rsidRDefault="00782525" w:rsidP="00CF7C6E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62179A">
        <w:rPr>
          <w:rFonts w:ascii="Times New Roman" w:hAnsi="Times New Roman" w:cs="Times New Roman"/>
          <w:bCs/>
          <w:sz w:val="24"/>
          <w:szCs w:val="24"/>
        </w:rPr>
        <w:t>Toutefois,</w:t>
      </w:r>
      <w:r w:rsidR="00CF7C6E" w:rsidRPr="006217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ce corps qui reconnaît </w:t>
      </w:r>
      <w:r w:rsidR="00CF7C6E" w:rsidRPr="0062179A">
        <w:rPr>
          <w:rFonts w:ascii="Times New Roman" w:hAnsi="Times New Roman" w:cs="Times New Roman"/>
          <w:bCs/>
          <w:sz w:val="24"/>
          <w:szCs w:val="24"/>
        </w:rPr>
        <w:t>a ses limites. Il est peu adaptable (manger des insectes croustillants du jour a</w:t>
      </w:r>
      <w:r w:rsidR="002F1E82" w:rsidRPr="0062179A">
        <w:rPr>
          <w:rFonts w:ascii="Times New Roman" w:hAnsi="Times New Roman" w:cs="Times New Roman"/>
          <w:bCs/>
          <w:sz w:val="24"/>
          <w:szCs w:val="24"/>
        </w:rPr>
        <w:t>u</w:t>
      </w:r>
      <w:r w:rsidR="00CF7C6E" w:rsidRPr="0062179A">
        <w:rPr>
          <w:rFonts w:ascii="Times New Roman" w:hAnsi="Times New Roman" w:cs="Times New Roman"/>
          <w:bCs/>
          <w:sz w:val="24"/>
          <w:szCs w:val="24"/>
        </w:rPr>
        <w:t xml:space="preserve"> lendemain rebute une bonne partie de l’humanité) et il manque de repères (il ne discerne pas les aliments contaminés par la radioactivité, par exemple).</w:t>
      </w:r>
    </w:p>
    <w:p w:rsidR="002F5D9F" w:rsidRPr="00B37BAC" w:rsidRDefault="00782525" w:rsidP="00B37BA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62179A">
        <w:rPr>
          <w:rFonts w:ascii="Times New Roman" w:hAnsi="Times New Roman" w:cs="Times New Roman"/>
          <w:bCs/>
          <w:sz w:val="24"/>
          <w:szCs w:val="24"/>
        </w:rPr>
        <w:t>Aujourd’hui, plus que jamais, goû</w:t>
      </w:r>
      <w:r w:rsidR="002F5D9F">
        <w:rPr>
          <w:rFonts w:ascii="Times New Roman" w:hAnsi="Times New Roman" w:cs="Times New Roman"/>
          <w:bCs/>
          <w:sz w:val="24"/>
          <w:szCs w:val="24"/>
        </w:rPr>
        <w:t>t et chimie sont indissociables</w:t>
      </w:r>
      <w:r w:rsidR="00B37B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5D9F" w:rsidRDefault="002F5D9F" w:rsidP="002F5D9F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2F5D9F" w:rsidRDefault="002F5D9F" w:rsidP="002F5D9F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2F5D9F" w:rsidRDefault="002F5D9F" w:rsidP="002F5D9F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2F5D9F" w:rsidRDefault="002F5D9F" w:rsidP="002F5D9F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2F5D9F" w:rsidRDefault="002F5D9F" w:rsidP="002F5D9F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2F5D9F" w:rsidRPr="002F5D9F" w:rsidRDefault="002F5D9F" w:rsidP="002F5D9F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pPr w:leftFromText="141" w:rightFromText="141" w:horzAnchor="margin" w:tblpXSpec="center" w:tblpY="-210"/>
        <w:tblW w:w="12252" w:type="dxa"/>
        <w:tblLayout w:type="fixed"/>
        <w:tblLook w:val="04A0" w:firstRow="1" w:lastRow="0" w:firstColumn="1" w:lastColumn="0" w:noHBand="0" w:noVBand="1"/>
      </w:tblPr>
      <w:tblGrid>
        <w:gridCol w:w="5990"/>
        <w:gridCol w:w="6262"/>
      </w:tblGrid>
      <w:tr w:rsidR="002F5D9F" w:rsidTr="00B37BAC">
        <w:tc>
          <w:tcPr>
            <w:tcW w:w="5990" w:type="dxa"/>
          </w:tcPr>
          <w:p w:rsidR="002F5D9F" w:rsidRDefault="002F5D9F" w:rsidP="00B37BAC">
            <w:pPr>
              <w:pStyle w:val="Paragraphedeliste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lastRenderedPageBreak/>
              <w:drawing>
                <wp:inline distT="0" distB="0" distL="0" distR="0" wp14:anchorId="29C8C677" wp14:editId="16729CC6">
                  <wp:extent cx="3952875" cy="49625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496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</w:tcPr>
          <w:p w:rsidR="00B37BAC" w:rsidRDefault="002F5D9F" w:rsidP="00B37BAC">
            <w:pPr>
              <w:pStyle w:val="Paragraphedeliste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F50DBA" wp14:editId="651C8271">
                  <wp:extent cx="3543300" cy="24669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BAC" w:rsidRDefault="00B37BAC" w:rsidP="00B37BAC">
            <w:pPr>
              <w:rPr>
                <w:lang w:val="fr-FR"/>
              </w:rPr>
            </w:pPr>
          </w:p>
          <w:p w:rsidR="002F5D9F" w:rsidRPr="00B37BAC" w:rsidRDefault="00B37BAC" w:rsidP="00B37BAC">
            <w:pPr>
              <w:rPr>
                <w:lang w:val="fr-FR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4287B695" wp14:editId="68AFCDF6">
                  <wp:extent cx="3686175" cy="556260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556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525" w:rsidRDefault="00782525" w:rsidP="00CF7C6E">
      <w:pPr>
        <w:pStyle w:val="Paragraphedeliste"/>
        <w:rPr>
          <w:rFonts w:ascii="Times New Roman" w:hAnsi="Times New Roman" w:cs="Times New Roman"/>
          <w:bCs/>
          <w:sz w:val="28"/>
          <w:szCs w:val="28"/>
        </w:rPr>
      </w:pPr>
    </w:p>
    <w:p w:rsidR="00782525" w:rsidRPr="00CF7C6E" w:rsidRDefault="00782525" w:rsidP="00CF7C6E">
      <w:pPr>
        <w:pStyle w:val="Paragraphedeliste"/>
        <w:rPr>
          <w:rFonts w:ascii="Times New Roman" w:hAnsi="Times New Roman" w:cs="Times New Roman"/>
          <w:bCs/>
          <w:sz w:val="28"/>
          <w:szCs w:val="28"/>
        </w:rPr>
      </w:pPr>
    </w:p>
    <w:p w:rsidR="00B610D1" w:rsidRPr="00E80688" w:rsidRDefault="00B610D1" w:rsidP="00E80688">
      <w:pPr>
        <w:pStyle w:val="Paragraphedeliste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Education nutritionnelle et sciences humaines et sociales : que devient la corporéité ?</w:t>
      </w:r>
    </w:p>
    <w:p w:rsidR="00957433" w:rsidRPr="000A4C4C" w:rsidRDefault="00957433" w:rsidP="00607E0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A4C4C">
        <w:rPr>
          <w:rFonts w:ascii="Times New Roman" w:hAnsi="Times New Roman" w:cs="Times New Roman"/>
          <w:sz w:val="24"/>
          <w:szCs w:val="24"/>
        </w:rPr>
        <w:t>Nous savons que…</w:t>
      </w:r>
    </w:p>
    <w:p w:rsidR="000368E6" w:rsidRPr="000A4C4C" w:rsidRDefault="00957433" w:rsidP="00607E0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A4C4C">
        <w:rPr>
          <w:rFonts w:ascii="Times New Roman" w:hAnsi="Times New Roman" w:cs="Times New Roman"/>
          <w:sz w:val="24"/>
          <w:szCs w:val="24"/>
        </w:rPr>
        <w:t xml:space="preserve">… </w:t>
      </w:r>
      <w:r w:rsidR="00697E9E" w:rsidRPr="000A4C4C">
        <w:rPr>
          <w:rFonts w:ascii="Times New Roman" w:hAnsi="Times New Roman" w:cs="Times New Roman"/>
          <w:sz w:val="24"/>
          <w:szCs w:val="24"/>
        </w:rPr>
        <w:t>Outre le nectar et</w:t>
      </w:r>
      <w:r w:rsidR="00782525" w:rsidRPr="000A4C4C">
        <w:rPr>
          <w:rFonts w:ascii="Times New Roman" w:hAnsi="Times New Roman" w:cs="Times New Roman"/>
          <w:sz w:val="24"/>
          <w:szCs w:val="24"/>
        </w:rPr>
        <w:t xml:space="preserve"> l’ambroisie</w:t>
      </w:r>
      <w:r w:rsidR="00697E9E" w:rsidRPr="000A4C4C">
        <w:rPr>
          <w:rFonts w:ascii="Times New Roman" w:hAnsi="Times New Roman" w:cs="Times New Roman"/>
          <w:sz w:val="24"/>
          <w:szCs w:val="24"/>
        </w:rPr>
        <w:t>, boisson et nourriture mythique des dieux de l’Olympe, la nourriture participe au statut social. En France, la brioche symbolisait les goûts de l’aristocratie au XVIIIe</w:t>
      </w:r>
      <w:r w:rsidR="00607E01" w:rsidRPr="000A4C4C">
        <w:rPr>
          <w:rFonts w:ascii="Times New Roman" w:hAnsi="Times New Roman" w:cs="Times New Roman"/>
          <w:sz w:val="24"/>
          <w:szCs w:val="24"/>
        </w:rPr>
        <w:t xml:space="preserve"> siècle. Au</w:t>
      </w:r>
      <w:r w:rsidR="00697E9E" w:rsidRPr="000A4C4C">
        <w:rPr>
          <w:rFonts w:ascii="Times New Roman" w:hAnsi="Times New Roman" w:cs="Times New Roman"/>
          <w:sz w:val="24"/>
          <w:szCs w:val="24"/>
        </w:rPr>
        <w:t xml:space="preserve"> </w:t>
      </w:r>
      <w:r w:rsidR="00CA6A78" w:rsidRPr="000A4C4C">
        <w:rPr>
          <w:rFonts w:ascii="Times New Roman" w:hAnsi="Times New Roman" w:cs="Times New Roman"/>
          <w:sz w:val="24"/>
          <w:szCs w:val="24"/>
        </w:rPr>
        <w:t xml:space="preserve">XIXe </w:t>
      </w:r>
      <w:r w:rsidR="00697E9E" w:rsidRPr="000A4C4C">
        <w:rPr>
          <w:rFonts w:ascii="Times New Roman" w:hAnsi="Times New Roman" w:cs="Times New Roman"/>
          <w:sz w:val="24"/>
          <w:szCs w:val="24"/>
        </w:rPr>
        <w:t>siècle</w:t>
      </w:r>
      <w:r w:rsidR="00607E01" w:rsidRPr="000A4C4C">
        <w:rPr>
          <w:rFonts w:ascii="Times New Roman" w:hAnsi="Times New Roman" w:cs="Times New Roman"/>
          <w:sz w:val="24"/>
          <w:szCs w:val="24"/>
        </w:rPr>
        <w:t>, le pain noir est pour le peuple – quand celui-ci en a</w:t>
      </w:r>
      <w:r w:rsidR="000368E6" w:rsidRPr="000A4C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68E6" w:rsidRPr="000A4C4C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0368E6" w:rsidRPr="000A4C4C">
        <w:rPr>
          <w:rFonts w:ascii="Times New Roman" w:hAnsi="Times New Roman" w:cs="Times New Roman"/>
          <w:sz w:val="24"/>
          <w:szCs w:val="24"/>
        </w:rPr>
        <w:t xml:space="preserve"> Jules Vallès</w:t>
      </w:r>
      <w:r w:rsidR="00CA6A78" w:rsidRPr="000A4C4C">
        <w:rPr>
          <w:rFonts w:ascii="Times New Roman" w:hAnsi="Times New Roman" w:cs="Times New Roman"/>
          <w:sz w:val="24"/>
          <w:szCs w:val="24"/>
        </w:rPr>
        <w:t xml:space="preserve"> ; </w:t>
      </w:r>
      <w:r w:rsidR="00CA6A78" w:rsidRPr="000A4C4C">
        <w:rPr>
          <w:rFonts w:ascii="Times New Roman" w:hAnsi="Times New Roman" w:cs="Times New Roman"/>
          <w:i/>
          <w:iCs/>
          <w:sz w:val="24"/>
          <w:szCs w:val="24"/>
        </w:rPr>
        <w:t>L’enfant, Le Bachelier, L’insurgé</w:t>
      </w:r>
      <w:r w:rsidR="000368E6" w:rsidRPr="000A4C4C">
        <w:rPr>
          <w:rFonts w:ascii="Times New Roman" w:hAnsi="Times New Roman" w:cs="Times New Roman"/>
          <w:sz w:val="24"/>
          <w:szCs w:val="24"/>
        </w:rPr>
        <w:t>)</w:t>
      </w:r>
      <w:r w:rsidR="00607E01" w:rsidRPr="000A4C4C">
        <w:rPr>
          <w:rFonts w:ascii="Times New Roman" w:hAnsi="Times New Roman" w:cs="Times New Roman"/>
          <w:sz w:val="24"/>
          <w:szCs w:val="24"/>
        </w:rPr>
        <w:t>. L</w:t>
      </w:r>
      <w:r w:rsidR="00697E9E" w:rsidRPr="000A4C4C">
        <w:rPr>
          <w:rFonts w:ascii="Times New Roman" w:hAnsi="Times New Roman" w:cs="Times New Roman"/>
          <w:sz w:val="24"/>
          <w:szCs w:val="24"/>
        </w:rPr>
        <w:t xml:space="preserve">e caviar et le homard </w:t>
      </w:r>
      <w:r w:rsidR="00607E01" w:rsidRPr="000A4C4C">
        <w:rPr>
          <w:rFonts w:ascii="Times New Roman" w:hAnsi="Times New Roman" w:cs="Times New Roman"/>
          <w:sz w:val="24"/>
          <w:szCs w:val="24"/>
        </w:rPr>
        <w:t xml:space="preserve">sont l’apanage de </w:t>
      </w:r>
      <w:r w:rsidR="00697E9E" w:rsidRPr="000A4C4C">
        <w:rPr>
          <w:rFonts w:ascii="Times New Roman" w:hAnsi="Times New Roman" w:cs="Times New Roman"/>
          <w:sz w:val="24"/>
          <w:szCs w:val="24"/>
        </w:rPr>
        <w:t xml:space="preserve">la grande bourgeoisie du début du XX siècle. </w:t>
      </w:r>
      <w:proofErr w:type="spellStart"/>
      <w:r w:rsidR="00607E01" w:rsidRPr="000A4C4C">
        <w:rPr>
          <w:rFonts w:ascii="Times New Roman" w:hAnsi="Times New Roman" w:cs="Times New Roman"/>
          <w:sz w:val="24"/>
          <w:szCs w:val="24"/>
        </w:rPr>
        <w:t>Inversément</w:t>
      </w:r>
      <w:proofErr w:type="spellEnd"/>
      <w:r w:rsidR="00607E01" w:rsidRPr="000A4C4C">
        <w:rPr>
          <w:rFonts w:ascii="Times New Roman" w:hAnsi="Times New Roman" w:cs="Times New Roman"/>
          <w:sz w:val="24"/>
          <w:szCs w:val="24"/>
        </w:rPr>
        <w:t xml:space="preserve"> le poulet s’est « démocratisé ».</w:t>
      </w:r>
    </w:p>
    <w:p w:rsidR="00607E01" w:rsidRPr="000A4C4C" w:rsidRDefault="00607E01" w:rsidP="00697E9E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A4C4C">
        <w:rPr>
          <w:rFonts w:ascii="Times New Roman" w:hAnsi="Times New Roman" w:cs="Times New Roman"/>
          <w:sz w:val="24"/>
          <w:szCs w:val="24"/>
        </w:rPr>
        <w:t>Chez Mozart…,</w:t>
      </w:r>
    </w:p>
    <w:p w:rsidR="000368E6" w:rsidRPr="000A4C4C" w:rsidRDefault="000368E6" w:rsidP="00697E9E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A4C4C">
        <w:rPr>
          <w:rFonts w:ascii="Times New Roman" w:hAnsi="Times New Roman" w:cs="Times New Roman"/>
          <w:sz w:val="24"/>
          <w:szCs w:val="24"/>
        </w:rPr>
        <w:t xml:space="preserve">Don Juan </w:t>
      </w:r>
      <w:r w:rsidR="00957433" w:rsidRPr="000A4C4C">
        <w:rPr>
          <w:rFonts w:ascii="Times New Roman" w:hAnsi="Times New Roman" w:cs="Times New Roman"/>
          <w:sz w:val="24"/>
          <w:szCs w:val="24"/>
        </w:rPr>
        <w:t xml:space="preserve">n’oublie pas </w:t>
      </w:r>
      <w:r w:rsidRPr="000A4C4C">
        <w:rPr>
          <w:rFonts w:ascii="Times New Roman" w:hAnsi="Times New Roman" w:cs="Times New Roman"/>
          <w:sz w:val="24"/>
          <w:szCs w:val="24"/>
        </w:rPr>
        <w:t>qu’une table bien garnie contribue à séduire…</w:t>
      </w:r>
    </w:p>
    <w:p w:rsidR="00697E9E" w:rsidRPr="000A4C4C" w:rsidRDefault="00697E9E" w:rsidP="00697E9E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A4C4C">
        <w:rPr>
          <w:rFonts w:ascii="Times New Roman" w:hAnsi="Times New Roman" w:cs="Times New Roman"/>
          <w:sz w:val="24"/>
          <w:szCs w:val="24"/>
        </w:rPr>
        <w:t xml:space="preserve">Bâtie sur le même principe que les comédies de Beaumarchais, </w:t>
      </w:r>
      <w:proofErr w:type="spellStart"/>
      <w:r w:rsidRPr="000A4C4C">
        <w:rPr>
          <w:rFonts w:ascii="Times New Roman" w:hAnsi="Times New Roman" w:cs="Times New Roman"/>
          <w:i/>
          <w:iCs/>
          <w:sz w:val="24"/>
          <w:szCs w:val="24"/>
        </w:rPr>
        <w:t>Cosi</w:t>
      </w:r>
      <w:proofErr w:type="spellEnd"/>
      <w:r w:rsidRPr="000A4C4C">
        <w:rPr>
          <w:rFonts w:ascii="Times New Roman" w:hAnsi="Times New Roman" w:cs="Times New Roman"/>
          <w:i/>
          <w:iCs/>
          <w:sz w:val="24"/>
          <w:szCs w:val="24"/>
        </w:rPr>
        <w:t xml:space="preserve"> fan tutte</w:t>
      </w:r>
      <w:r w:rsidRPr="000A4C4C">
        <w:rPr>
          <w:rFonts w:ascii="Times New Roman" w:hAnsi="Times New Roman" w:cs="Times New Roman"/>
          <w:sz w:val="24"/>
          <w:szCs w:val="24"/>
        </w:rPr>
        <w:t xml:space="preserve"> met en scène une servante, </w:t>
      </w:r>
      <w:proofErr w:type="spellStart"/>
      <w:r w:rsidRPr="000A4C4C">
        <w:rPr>
          <w:rFonts w:ascii="Times New Roman" w:hAnsi="Times New Roman" w:cs="Times New Roman"/>
          <w:sz w:val="24"/>
          <w:szCs w:val="24"/>
        </w:rPr>
        <w:t>Despina</w:t>
      </w:r>
      <w:proofErr w:type="spellEnd"/>
      <w:r w:rsidRPr="000A4C4C">
        <w:rPr>
          <w:rFonts w:ascii="Times New Roman" w:hAnsi="Times New Roman" w:cs="Times New Roman"/>
          <w:sz w:val="24"/>
          <w:szCs w:val="24"/>
        </w:rPr>
        <w:t>, qui n’a pas le droit de boire le chocolat qu’elle prépare pour ses patronnes</w:t>
      </w:r>
      <w:r w:rsidR="000368E6" w:rsidRPr="000A4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8E6" w:rsidRPr="000A4C4C">
        <w:rPr>
          <w:rFonts w:ascii="Times New Roman" w:hAnsi="Times New Roman" w:cs="Times New Roman"/>
          <w:sz w:val="24"/>
          <w:szCs w:val="24"/>
        </w:rPr>
        <w:t>Fiordili</w:t>
      </w:r>
      <w:r w:rsidR="00397BBC" w:rsidRPr="000A4C4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397BBC" w:rsidRPr="000A4C4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97BBC" w:rsidRPr="000A4C4C">
        <w:rPr>
          <w:rFonts w:ascii="Times New Roman" w:hAnsi="Times New Roman" w:cs="Times New Roman"/>
          <w:sz w:val="24"/>
          <w:szCs w:val="24"/>
        </w:rPr>
        <w:t>Dorabella</w:t>
      </w:r>
      <w:proofErr w:type="spellEnd"/>
      <w:r w:rsidR="000368E6" w:rsidRPr="000A4C4C">
        <w:rPr>
          <w:rFonts w:ascii="Times New Roman" w:hAnsi="Times New Roman" w:cs="Times New Roman"/>
          <w:sz w:val="24"/>
          <w:szCs w:val="24"/>
        </w:rPr>
        <w:t>…</w:t>
      </w:r>
    </w:p>
    <w:p w:rsidR="00B610D1" w:rsidRPr="00B37BAC" w:rsidRDefault="00B610D1" w:rsidP="00697E9E">
      <w:pPr>
        <w:pStyle w:val="Paragraphedeliste"/>
        <w:rPr>
          <w:rFonts w:ascii="Times New Roman" w:hAnsi="Times New Roman" w:cs="Times New Roman"/>
          <w:sz w:val="28"/>
          <w:szCs w:val="24"/>
        </w:rPr>
      </w:pPr>
      <w:r w:rsidRPr="00B37BAC">
        <w:rPr>
          <w:rFonts w:ascii="Times New Roman" w:hAnsi="Times New Roman" w:cs="Times New Roman"/>
          <w:b/>
          <w:color w:val="FF00FF"/>
          <w:sz w:val="28"/>
          <w:szCs w:val="24"/>
        </w:rPr>
        <w:t>A voir</w:t>
      </w:r>
      <w:r w:rsidRPr="00B37BAC">
        <w:rPr>
          <w:rFonts w:ascii="Times New Roman" w:hAnsi="Times New Roman" w:cs="Times New Roman"/>
          <w:sz w:val="28"/>
          <w:szCs w:val="24"/>
        </w:rPr>
        <w:t>, pour comparer la direction d’acteurs, du point de vue des mimiques et de la rhétorique posturale</w:t>
      </w:r>
      <w:r w:rsidR="007A1447" w:rsidRPr="00B37BAC">
        <w:rPr>
          <w:rFonts w:ascii="Times New Roman" w:hAnsi="Times New Roman" w:cs="Times New Roman"/>
          <w:sz w:val="28"/>
          <w:szCs w:val="24"/>
        </w:rPr>
        <w:t xml:space="preserve"> (scène de </w:t>
      </w:r>
      <w:proofErr w:type="spellStart"/>
      <w:r w:rsidR="007A1447" w:rsidRPr="00B37BAC">
        <w:rPr>
          <w:rFonts w:ascii="Times New Roman" w:hAnsi="Times New Roman" w:cs="Times New Roman"/>
          <w:i/>
          <w:sz w:val="28"/>
          <w:szCs w:val="24"/>
        </w:rPr>
        <w:t>Cosi</w:t>
      </w:r>
      <w:proofErr w:type="spellEnd"/>
      <w:r w:rsidR="007A1447" w:rsidRPr="00B37BAC">
        <w:rPr>
          <w:rFonts w:ascii="Times New Roman" w:hAnsi="Times New Roman" w:cs="Times New Roman"/>
          <w:i/>
          <w:sz w:val="28"/>
          <w:szCs w:val="24"/>
        </w:rPr>
        <w:t xml:space="preserve"> fan tutte</w:t>
      </w:r>
      <w:r w:rsidR="007A1447" w:rsidRPr="00B37BAC">
        <w:rPr>
          <w:rFonts w:ascii="Times New Roman" w:hAnsi="Times New Roman" w:cs="Times New Roman"/>
          <w:sz w:val="28"/>
          <w:szCs w:val="24"/>
        </w:rPr>
        <w:t>, de Mozart-Da Ponte)</w:t>
      </w:r>
      <w:r w:rsidRPr="00B37BAC">
        <w:rPr>
          <w:rFonts w:ascii="Times New Roman" w:hAnsi="Times New Roman" w:cs="Times New Roman"/>
          <w:sz w:val="28"/>
          <w:szCs w:val="24"/>
        </w:rPr>
        <w:t> :</w:t>
      </w:r>
    </w:p>
    <w:p w:rsidR="00B610D1" w:rsidRPr="00B37BAC" w:rsidRDefault="00A00CE3" w:rsidP="00B610D1">
      <w:pPr>
        <w:pStyle w:val="Paragraphedeliste"/>
        <w:rPr>
          <w:rFonts w:ascii="Times New Roman" w:hAnsi="Times New Roman" w:cs="Times New Roman"/>
          <w:sz w:val="28"/>
          <w:szCs w:val="24"/>
        </w:rPr>
      </w:pPr>
      <w:hyperlink r:id="rId13" w:history="1">
        <w:r w:rsidR="00B610D1" w:rsidRPr="00B37BAC">
          <w:rPr>
            <w:rStyle w:val="Lienhypertexte"/>
            <w:rFonts w:ascii="Times New Roman" w:hAnsi="Times New Roman" w:cs="Times New Roman"/>
            <w:sz w:val="28"/>
            <w:szCs w:val="24"/>
          </w:rPr>
          <w:t>https://www.youtube.com/watch?v=MXCEuYL1pBU</w:t>
        </w:r>
      </w:hyperlink>
      <w:r w:rsidR="00B610D1" w:rsidRPr="00B37BAC">
        <w:rPr>
          <w:rFonts w:ascii="Times New Roman" w:hAnsi="Times New Roman" w:cs="Times New Roman"/>
          <w:sz w:val="28"/>
          <w:szCs w:val="24"/>
        </w:rPr>
        <w:t xml:space="preserve"> de 39 :23 à 48 :43</w:t>
      </w:r>
    </w:p>
    <w:p w:rsidR="00B610D1" w:rsidRPr="00B37BAC" w:rsidRDefault="00A00CE3" w:rsidP="00B610D1">
      <w:pPr>
        <w:ind w:left="708"/>
        <w:rPr>
          <w:sz w:val="28"/>
          <w:szCs w:val="24"/>
        </w:rPr>
      </w:pPr>
      <w:hyperlink r:id="rId14" w:history="1">
        <w:r w:rsidR="00B610D1" w:rsidRPr="00B37BAC">
          <w:rPr>
            <w:rStyle w:val="Lienhypertexte"/>
            <w:sz w:val="28"/>
            <w:szCs w:val="24"/>
          </w:rPr>
          <w:t>https://www.youtube.com/watch?v=DgnN7s4B5H0</w:t>
        </w:r>
      </w:hyperlink>
      <w:r w:rsidR="00B610D1" w:rsidRPr="00B37BAC">
        <w:rPr>
          <w:sz w:val="28"/>
          <w:szCs w:val="24"/>
        </w:rPr>
        <w:t xml:space="preserve"> de 36 :36 à 46 :04.</w:t>
      </w:r>
    </w:p>
    <w:p w:rsidR="00E80688" w:rsidRDefault="00B37BAC" w:rsidP="000A4C4C">
      <w:pPr>
        <w:ind w:left="708"/>
        <w:rPr>
          <w:sz w:val="28"/>
          <w:szCs w:val="32"/>
        </w:rPr>
      </w:pPr>
      <w:r>
        <w:rPr>
          <w:rFonts w:ascii="Times New Roman" w:hAnsi="Times New Roman" w:cs="Times New Roman"/>
          <w:szCs w:val="24"/>
        </w:rPr>
        <w:t>Et n’oubliez pas : l</w:t>
      </w:r>
      <w:r w:rsidR="000368E6" w:rsidRPr="000A4C4C">
        <w:rPr>
          <w:rFonts w:ascii="Times New Roman" w:hAnsi="Times New Roman" w:cs="Times New Roman"/>
          <w:szCs w:val="24"/>
        </w:rPr>
        <w:t>es manières de table sont hyper-codifiées à la Cour d’Angleterre, y</w:t>
      </w:r>
      <w:r w:rsidR="000368E6" w:rsidRPr="000A4C4C">
        <w:rPr>
          <w:rFonts w:ascii="Times New Roman" w:hAnsi="Times New Roman" w:cs="Times New Roman"/>
          <w:sz w:val="24"/>
          <w:szCs w:val="28"/>
        </w:rPr>
        <w:t xml:space="preserve"> compris la prise de parole avec ses voisins de table.</w:t>
      </w:r>
    </w:p>
    <w:p w:rsidR="000B6DDD" w:rsidRDefault="009A472B" w:rsidP="000405B9">
      <w:pPr>
        <w:ind w:left="708"/>
        <w:rPr>
          <w:sz w:val="32"/>
          <w:szCs w:val="32"/>
        </w:rPr>
      </w:pPr>
      <w:r>
        <w:rPr>
          <w:sz w:val="32"/>
          <w:szCs w:val="32"/>
        </w:rPr>
        <w:t>DISCOGRAPHIE</w:t>
      </w:r>
    </w:p>
    <w:p w:rsidR="009A472B" w:rsidRPr="007B03E0" w:rsidRDefault="007B03E0" w:rsidP="000405B9">
      <w:pPr>
        <w:ind w:left="708"/>
        <w:rPr>
          <w:sz w:val="28"/>
          <w:szCs w:val="32"/>
          <w:lang w:val="en-US"/>
        </w:rPr>
      </w:pPr>
      <w:r w:rsidRPr="007B03E0">
        <w:rPr>
          <w:sz w:val="28"/>
          <w:szCs w:val="32"/>
        </w:rPr>
        <w:t>Rossini : « Quatre hors d’œuvres, Quatre mendiants »</w:t>
      </w:r>
      <w:r>
        <w:rPr>
          <w:sz w:val="28"/>
          <w:szCs w:val="32"/>
        </w:rPr>
        <w:t xml:space="preserve">. </w:t>
      </w:r>
      <w:r w:rsidRPr="007B03E0">
        <w:rPr>
          <w:sz w:val="28"/>
          <w:szCs w:val="32"/>
          <w:lang w:val="en-US"/>
        </w:rPr>
        <w:t>Paolo Giacometti, au piano. CD C</w:t>
      </w:r>
      <w:r>
        <w:rPr>
          <w:sz w:val="28"/>
          <w:szCs w:val="32"/>
          <w:lang w:val="en-US"/>
        </w:rPr>
        <w:t>HANNEL Cl</w:t>
      </w:r>
      <w:r w:rsidRPr="007B03E0">
        <w:rPr>
          <w:sz w:val="28"/>
          <w:szCs w:val="32"/>
          <w:lang w:val="en-US"/>
        </w:rPr>
        <w:t>assics</w:t>
      </w:r>
    </w:p>
    <w:p w:rsidR="007B03E0" w:rsidRDefault="007B03E0" w:rsidP="000405B9">
      <w:pPr>
        <w:ind w:left="708"/>
        <w:rPr>
          <w:sz w:val="28"/>
          <w:szCs w:val="32"/>
          <w:lang w:val="en-US"/>
        </w:rPr>
      </w:pPr>
      <w:proofErr w:type="spellStart"/>
      <w:r w:rsidRPr="007B03E0">
        <w:rPr>
          <w:sz w:val="28"/>
          <w:szCs w:val="32"/>
          <w:lang w:val="en-US"/>
        </w:rPr>
        <w:t>Youn</w:t>
      </w:r>
      <w:proofErr w:type="spellEnd"/>
      <w:r w:rsidRPr="007B03E0">
        <w:rPr>
          <w:sz w:val="28"/>
          <w:szCs w:val="32"/>
          <w:lang w:val="en-US"/>
        </w:rPr>
        <w:t xml:space="preserve"> Sun </w:t>
      </w:r>
      <w:proofErr w:type="gramStart"/>
      <w:r w:rsidRPr="007B03E0">
        <w:rPr>
          <w:sz w:val="28"/>
          <w:szCs w:val="32"/>
          <w:lang w:val="en-US"/>
        </w:rPr>
        <w:t>Nah :</w:t>
      </w:r>
      <w:proofErr w:type="gramEnd"/>
      <w:r w:rsidRPr="007B03E0">
        <w:rPr>
          <w:sz w:val="28"/>
          <w:szCs w:val="32"/>
          <w:lang w:val="en-US"/>
        </w:rPr>
        <w:t xml:space="preserve"> « Pancake ». CD </w:t>
      </w:r>
      <w:r w:rsidRPr="007B03E0">
        <w:rPr>
          <w:i/>
          <w:sz w:val="28"/>
          <w:szCs w:val="32"/>
          <w:lang w:val="en-US"/>
        </w:rPr>
        <w:t>Same girl</w:t>
      </w:r>
      <w:r>
        <w:rPr>
          <w:sz w:val="28"/>
          <w:szCs w:val="32"/>
          <w:lang w:val="en-US"/>
        </w:rPr>
        <w:t>, che</w:t>
      </w:r>
      <w:r w:rsidRPr="007B03E0">
        <w:rPr>
          <w:sz w:val="28"/>
          <w:szCs w:val="32"/>
          <w:lang w:val="en-US"/>
        </w:rPr>
        <w:t>z ACT</w:t>
      </w:r>
    </w:p>
    <w:p w:rsidR="007B03E0" w:rsidRPr="007B03E0" w:rsidRDefault="007B03E0" w:rsidP="000405B9">
      <w:pPr>
        <w:ind w:left="708"/>
        <w:rPr>
          <w:sz w:val="28"/>
          <w:szCs w:val="32"/>
        </w:rPr>
      </w:pPr>
      <w:r w:rsidRPr="007B03E0">
        <w:rPr>
          <w:sz w:val="28"/>
          <w:szCs w:val="32"/>
        </w:rPr>
        <w:t>Maxime Le Forestier: “Le steak”.</w:t>
      </w:r>
    </w:p>
    <w:p w:rsidR="007B03E0" w:rsidRDefault="007B03E0" w:rsidP="000405B9">
      <w:pPr>
        <w:ind w:left="708"/>
        <w:rPr>
          <w:sz w:val="28"/>
          <w:szCs w:val="32"/>
        </w:rPr>
      </w:pPr>
      <w:r>
        <w:rPr>
          <w:sz w:val="28"/>
          <w:szCs w:val="32"/>
        </w:rPr>
        <w:t>Steve Waring. « L’ogresse ». CD Le chant du monde.</w:t>
      </w:r>
    </w:p>
    <w:p w:rsidR="007B03E0" w:rsidRDefault="007B03E0" w:rsidP="00330ADE">
      <w:pPr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Pascal </w:t>
      </w:r>
      <w:proofErr w:type="spellStart"/>
      <w:r>
        <w:rPr>
          <w:sz w:val="28"/>
          <w:szCs w:val="32"/>
        </w:rPr>
        <w:t>Parisot</w:t>
      </w:r>
      <w:proofErr w:type="spellEnd"/>
      <w:r>
        <w:rPr>
          <w:sz w:val="28"/>
          <w:szCs w:val="32"/>
        </w:rPr>
        <w:t xml:space="preserve"> : « J’mange de l’herbe ». CD </w:t>
      </w:r>
      <w:r w:rsidRPr="007B03E0">
        <w:rPr>
          <w:i/>
          <w:sz w:val="28"/>
          <w:szCs w:val="32"/>
        </w:rPr>
        <w:t>Bêtes en stock</w:t>
      </w:r>
      <w:r>
        <w:rPr>
          <w:sz w:val="28"/>
          <w:szCs w:val="32"/>
        </w:rPr>
        <w:t>.</w:t>
      </w:r>
    </w:p>
    <w:p w:rsidR="00330ADE" w:rsidRDefault="00330ADE" w:rsidP="000405B9">
      <w:pPr>
        <w:ind w:left="708"/>
        <w:rPr>
          <w:sz w:val="28"/>
          <w:szCs w:val="32"/>
        </w:rPr>
      </w:pPr>
      <w:r>
        <w:rPr>
          <w:sz w:val="28"/>
          <w:szCs w:val="32"/>
        </w:rPr>
        <w:t xml:space="preserve">Les Frères Jacques. </w:t>
      </w:r>
      <w:r w:rsidRPr="00330ADE">
        <w:rPr>
          <w:i/>
          <w:sz w:val="28"/>
          <w:szCs w:val="32"/>
        </w:rPr>
        <w:t>L’entrecôte</w:t>
      </w:r>
      <w:r>
        <w:rPr>
          <w:sz w:val="28"/>
          <w:szCs w:val="32"/>
        </w:rPr>
        <w:t>.</w:t>
      </w:r>
    </w:p>
    <w:p w:rsidR="00330ADE" w:rsidRPr="007B03E0" w:rsidRDefault="00330ADE" w:rsidP="000405B9">
      <w:pPr>
        <w:ind w:left="708"/>
        <w:rPr>
          <w:sz w:val="28"/>
          <w:szCs w:val="32"/>
        </w:rPr>
      </w:pPr>
      <w:r>
        <w:rPr>
          <w:sz w:val="28"/>
          <w:szCs w:val="32"/>
        </w:rPr>
        <w:t xml:space="preserve">Delalande. Symphonies pour les soupers du Roy. La Symphonie du Marais sous la direction d’Hugo </w:t>
      </w:r>
      <w:proofErr w:type="spellStart"/>
      <w:r>
        <w:rPr>
          <w:sz w:val="28"/>
          <w:szCs w:val="32"/>
        </w:rPr>
        <w:t>Reyne</w:t>
      </w:r>
      <w:proofErr w:type="spellEnd"/>
      <w:r>
        <w:rPr>
          <w:sz w:val="28"/>
          <w:szCs w:val="32"/>
        </w:rPr>
        <w:t>. CD harmonia mundi.</w:t>
      </w:r>
    </w:p>
    <w:sectPr w:rsidR="00330ADE" w:rsidRPr="007B03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FB" w:rsidRDefault="00B065FB" w:rsidP="00346AE1">
      <w:pPr>
        <w:spacing w:after="0" w:line="240" w:lineRule="auto"/>
      </w:pPr>
      <w:r>
        <w:separator/>
      </w:r>
    </w:p>
  </w:endnote>
  <w:endnote w:type="continuationSeparator" w:id="0">
    <w:p w:rsidR="00B065FB" w:rsidRDefault="00B065FB" w:rsidP="003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01" w:rsidRDefault="00607E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8769"/>
      <w:docPartObj>
        <w:docPartGallery w:val="Page Numbers (Bottom of Page)"/>
        <w:docPartUnique/>
      </w:docPartObj>
    </w:sdtPr>
    <w:sdtEndPr/>
    <w:sdtContent>
      <w:p w:rsidR="00607E01" w:rsidRDefault="00607E0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7D" w:rsidRPr="001A367D">
          <w:rPr>
            <w:noProof/>
            <w:lang w:val="fr-FR"/>
          </w:rPr>
          <w:t>5</w:t>
        </w:r>
        <w:r>
          <w:fldChar w:fldCharType="end"/>
        </w:r>
      </w:p>
    </w:sdtContent>
  </w:sdt>
  <w:p w:rsidR="00346AE1" w:rsidRDefault="00346A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01" w:rsidRDefault="00607E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FB" w:rsidRDefault="00B065FB" w:rsidP="00346AE1">
      <w:pPr>
        <w:spacing w:after="0" w:line="240" w:lineRule="auto"/>
      </w:pPr>
      <w:r>
        <w:separator/>
      </w:r>
    </w:p>
  </w:footnote>
  <w:footnote w:type="continuationSeparator" w:id="0">
    <w:p w:rsidR="00B065FB" w:rsidRDefault="00B065FB" w:rsidP="0034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01" w:rsidRDefault="00607E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01" w:rsidRDefault="00607E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01" w:rsidRDefault="00607E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D69"/>
    <w:multiLevelType w:val="hybridMultilevel"/>
    <w:tmpl w:val="E68C08E0"/>
    <w:lvl w:ilvl="0" w:tplc="222C5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362A"/>
    <w:multiLevelType w:val="hybridMultilevel"/>
    <w:tmpl w:val="ED5C76C2"/>
    <w:lvl w:ilvl="0" w:tplc="93688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891"/>
    <w:multiLevelType w:val="hybridMultilevel"/>
    <w:tmpl w:val="E7A409EC"/>
    <w:lvl w:ilvl="0" w:tplc="C39E1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5567"/>
    <w:multiLevelType w:val="hybridMultilevel"/>
    <w:tmpl w:val="226CF16C"/>
    <w:lvl w:ilvl="0" w:tplc="05F01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B28E0"/>
    <w:multiLevelType w:val="hybridMultilevel"/>
    <w:tmpl w:val="E7A409EC"/>
    <w:lvl w:ilvl="0" w:tplc="C39E1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E"/>
    <w:rsid w:val="000368E6"/>
    <w:rsid w:val="000405B9"/>
    <w:rsid w:val="0008410B"/>
    <w:rsid w:val="000A4C4C"/>
    <w:rsid w:val="000B6DDD"/>
    <w:rsid w:val="001000D4"/>
    <w:rsid w:val="001A367D"/>
    <w:rsid w:val="001B318D"/>
    <w:rsid w:val="001D391A"/>
    <w:rsid w:val="001F4F08"/>
    <w:rsid w:val="00210A59"/>
    <w:rsid w:val="002B7C0C"/>
    <w:rsid w:val="002F1E82"/>
    <w:rsid w:val="002F5D9F"/>
    <w:rsid w:val="00330ADE"/>
    <w:rsid w:val="00346AE1"/>
    <w:rsid w:val="00397BBC"/>
    <w:rsid w:val="003D7893"/>
    <w:rsid w:val="004D3F34"/>
    <w:rsid w:val="004E585D"/>
    <w:rsid w:val="00536013"/>
    <w:rsid w:val="005F58C4"/>
    <w:rsid w:val="00607E01"/>
    <w:rsid w:val="0062179A"/>
    <w:rsid w:val="00633E43"/>
    <w:rsid w:val="00697E9E"/>
    <w:rsid w:val="006F7B07"/>
    <w:rsid w:val="00782525"/>
    <w:rsid w:val="007A1447"/>
    <w:rsid w:val="007A7EC8"/>
    <w:rsid w:val="007B03E0"/>
    <w:rsid w:val="007B546E"/>
    <w:rsid w:val="008914CC"/>
    <w:rsid w:val="00891F88"/>
    <w:rsid w:val="008D4B02"/>
    <w:rsid w:val="008D6DCC"/>
    <w:rsid w:val="00947292"/>
    <w:rsid w:val="00957433"/>
    <w:rsid w:val="009A472B"/>
    <w:rsid w:val="00A00CE3"/>
    <w:rsid w:val="00A01CF1"/>
    <w:rsid w:val="00A532B4"/>
    <w:rsid w:val="00A61445"/>
    <w:rsid w:val="00B065FB"/>
    <w:rsid w:val="00B2533A"/>
    <w:rsid w:val="00B37BAC"/>
    <w:rsid w:val="00B610D1"/>
    <w:rsid w:val="00BF67D6"/>
    <w:rsid w:val="00C477C4"/>
    <w:rsid w:val="00C52651"/>
    <w:rsid w:val="00C54FDB"/>
    <w:rsid w:val="00C80725"/>
    <w:rsid w:val="00C96D4A"/>
    <w:rsid w:val="00CA143D"/>
    <w:rsid w:val="00CA6A78"/>
    <w:rsid w:val="00CF7C6E"/>
    <w:rsid w:val="00E26AE4"/>
    <w:rsid w:val="00E44CC2"/>
    <w:rsid w:val="00E80688"/>
    <w:rsid w:val="00E94FF9"/>
    <w:rsid w:val="00F10CFE"/>
    <w:rsid w:val="00F61A50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1CF1"/>
    <w:pPr>
      <w:spacing w:after="0"/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A01C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1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807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CitationHTML">
    <w:name w:val="HTML Cite"/>
    <w:basedOn w:val="Policepardfaut"/>
    <w:uiPriority w:val="99"/>
    <w:semiHidden/>
    <w:unhideWhenUsed/>
    <w:rsid w:val="001B318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4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AE1"/>
  </w:style>
  <w:style w:type="paragraph" w:styleId="Pieddepage">
    <w:name w:val="footer"/>
    <w:basedOn w:val="Normal"/>
    <w:link w:val="PieddepageCar"/>
    <w:uiPriority w:val="99"/>
    <w:unhideWhenUsed/>
    <w:rsid w:val="0034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1CF1"/>
    <w:pPr>
      <w:spacing w:after="0"/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A01C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1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807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CitationHTML">
    <w:name w:val="HTML Cite"/>
    <w:basedOn w:val="Policepardfaut"/>
    <w:uiPriority w:val="99"/>
    <w:semiHidden/>
    <w:unhideWhenUsed/>
    <w:rsid w:val="001B318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4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AE1"/>
  </w:style>
  <w:style w:type="paragraph" w:styleId="Pieddepage">
    <w:name w:val="footer"/>
    <w:basedOn w:val="Normal"/>
    <w:link w:val="PieddepageCar"/>
    <w:uiPriority w:val="99"/>
    <w:unhideWhenUsed/>
    <w:rsid w:val="0034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MXCEuYL1pB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DgnN7s4B5H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essai2</dc:creator>
  <cp:lastModifiedBy>essai2</cp:lastModifiedBy>
  <cp:revision>5</cp:revision>
  <cp:lastPrinted>2019-09-30T17:45:00Z</cp:lastPrinted>
  <dcterms:created xsi:type="dcterms:W3CDTF">2019-09-30T16:30:00Z</dcterms:created>
  <dcterms:modified xsi:type="dcterms:W3CDTF">2019-10-03T12:02:00Z</dcterms:modified>
</cp:coreProperties>
</file>